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87EC1">
      <w:pPr>
        <w:spacing w:before="109" w:line="446" w:lineRule="exact"/>
        <w:ind w:left="1967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2"/>
          <w:position w:val="-2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转移支付安排情况说明</w:t>
      </w:r>
    </w:p>
    <w:p w14:paraId="777F1955">
      <w:pPr>
        <w:spacing w:line="252" w:lineRule="auto"/>
        <w:rPr>
          <w:rFonts w:ascii="Arial"/>
          <w:sz w:val="21"/>
        </w:rPr>
      </w:pPr>
    </w:p>
    <w:p w14:paraId="1E14EAD8">
      <w:pPr>
        <w:spacing w:line="252" w:lineRule="auto"/>
        <w:rPr>
          <w:rFonts w:ascii="Arial"/>
          <w:sz w:val="21"/>
        </w:rPr>
      </w:pPr>
    </w:p>
    <w:p w14:paraId="51A28200">
      <w:pPr>
        <w:spacing w:line="253" w:lineRule="auto"/>
        <w:rPr>
          <w:rFonts w:ascii="Arial"/>
          <w:sz w:val="21"/>
        </w:rPr>
      </w:pPr>
    </w:p>
    <w:p w14:paraId="317211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34" w:right="251" w:firstLine="635"/>
        <w:jc w:val="both"/>
        <w:textAlignment w:val="baseline"/>
      </w:pPr>
      <w:r>
        <w:rPr>
          <w:spacing w:val="12"/>
        </w:rPr>
        <w:t>202</w:t>
      </w:r>
      <w:r>
        <w:rPr>
          <w:rFonts w:hint="eastAsia"/>
          <w:spacing w:val="12"/>
          <w:lang w:val="en-US" w:eastAsia="zh-CN"/>
        </w:rPr>
        <w:t>4</w:t>
      </w:r>
      <w:r>
        <w:rPr>
          <w:spacing w:val="12"/>
        </w:rPr>
        <w:t>年转移支付安排补助区级支出</w:t>
      </w:r>
      <w:r>
        <w:rPr>
          <w:rFonts w:hint="eastAsia"/>
          <w:spacing w:val="12"/>
          <w:lang w:val="en-US" w:eastAsia="zh-CN"/>
        </w:rPr>
        <w:t>34.96</w:t>
      </w:r>
      <w:r>
        <w:rPr>
          <w:spacing w:val="12"/>
        </w:rPr>
        <w:t>亿元，其中：返还性支出2.98亿元，一般性转移支付支出</w:t>
      </w:r>
      <w:r>
        <w:rPr>
          <w:rFonts w:hint="eastAsia"/>
          <w:spacing w:val="12"/>
          <w:lang w:val="en-US" w:eastAsia="zh-CN"/>
        </w:rPr>
        <w:t>31.77</w:t>
      </w:r>
      <w:r>
        <w:rPr>
          <w:spacing w:val="12"/>
        </w:rPr>
        <w:t>亿元，专</w:t>
      </w:r>
      <w:r>
        <w:rPr>
          <w:spacing w:val="7"/>
        </w:rPr>
        <w:t>项转移支付支出</w:t>
      </w:r>
      <w:r>
        <w:rPr>
          <w:rFonts w:hint="eastAsia"/>
          <w:spacing w:val="7"/>
          <w:lang w:val="en-US" w:eastAsia="zh-CN"/>
        </w:rPr>
        <w:t>2068万</w:t>
      </w:r>
      <w:r>
        <w:rPr>
          <w:spacing w:val="7"/>
        </w:rPr>
        <w:t>元。主要项目情况是：</w:t>
      </w:r>
    </w:p>
    <w:p w14:paraId="6CFE62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600" w:lineRule="exact"/>
        <w:ind w:left="40" w:right="251" w:firstLine="649"/>
        <w:jc w:val="both"/>
        <w:textAlignment w:val="baseline"/>
      </w:pPr>
      <w:r>
        <w:rPr>
          <w:spacing w:val="12"/>
        </w:rPr>
        <w:t>1.返还性支出2.98亿元，其中:增值税税收返</w:t>
      </w:r>
      <w:r>
        <w:rPr>
          <w:spacing w:val="11"/>
        </w:rPr>
        <w:t>还</w:t>
      </w:r>
      <w:r>
        <w:rPr>
          <w:rFonts w:hint="eastAsia"/>
          <w:spacing w:val="11"/>
          <w:lang w:val="en-US" w:eastAsia="zh-CN"/>
        </w:rPr>
        <w:t>0.76亿</w:t>
      </w:r>
      <w:r>
        <w:rPr>
          <w:spacing w:val="5"/>
        </w:rPr>
        <w:t>元，消费税税收返还</w:t>
      </w:r>
      <w:r>
        <w:rPr>
          <w:rFonts w:hint="eastAsia"/>
          <w:spacing w:val="5"/>
          <w:lang w:val="en-US" w:eastAsia="zh-CN"/>
        </w:rPr>
        <w:t>0.16亿</w:t>
      </w:r>
      <w:r>
        <w:rPr>
          <w:spacing w:val="5"/>
        </w:rPr>
        <w:t>元，所得税基数返还</w:t>
      </w:r>
      <w:r>
        <w:rPr>
          <w:rFonts w:hint="eastAsia"/>
          <w:spacing w:val="5"/>
          <w:lang w:val="en-US" w:eastAsia="zh-CN"/>
        </w:rPr>
        <w:t>0.19亿元</w:t>
      </w:r>
      <w:r>
        <w:rPr>
          <w:spacing w:val="5"/>
        </w:rPr>
        <w:t>元</w:t>
      </w:r>
      <w:r>
        <w:rPr>
          <w:rFonts w:hint="eastAsia"/>
          <w:spacing w:val="5"/>
          <w:lang w:eastAsia="zh-CN"/>
        </w:rPr>
        <w:t>，</w:t>
      </w:r>
      <w:r>
        <w:rPr>
          <w:spacing w:val="7"/>
        </w:rPr>
        <w:t>成品油税费改革税收返还</w:t>
      </w:r>
      <w:r>
        <w:rPr>
          <w:rFonts w:hint="eastAsia"/>
          <w:spacing w:val="7"/>
          <w:lang w:val="en-US" w:eastAsia="zh-CN"/>
        </w:rPr>
        <w:t>0.15亿</w:t>
      </w:r>
      <w:r>
        <w:rPr>
          <w:spacing w:val="7"/>
        </w:rPr>
        <w:t>元，实施增值税收入划</w:t>
      </w:r>
      <w:r>
        <w:rPr>
          <w:spacing w:val="5"/>
        </w:rPr>
        <w:t>分税收返还1.72亿元。</w:t>
      </w:r>
    </w:p>
    <w:p w14:paraId="39C4DD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35" w:right="248" w:firstLine="634"/>
        <w:jc w:val="both"/>
        <w:textAlignment w:val="baseline"/>
      </w:pPr>
      <w:r>
        <w:rPr>
          <w:spacing w:val="7"/>
        </w:rPr>
        <w:t>2.一般性转移支付支出</w:t>
      </w:r>
      <w:r>
        <w:rPr>
          <w:rFonts w:hint="eastAsia"/>
          <w:spacing w:val="7"/>
          <w:lang w:val="en-US" w:eastAsia="zh-CN"/>
        </w:rPr>
        <w:t>31.77</w:t>
      </w:r>
      <w:r>
        <w:rPr>
          <w:spacing w:val="7"/>
        </w:rPr>
        <w:t>亿元，其中</w:t>
      </w:r>
      <w:r>
        <w:rPr>
          <w:rFonts w:hint="eastAsia"/>
          <w:spacing w:val="7"/>
          <w:lang w:val="en-US" w:eastAsia="zh-CN"/>
        </w:rPr>
        <w:t>主要有</w:t>
      </w:r>
      <w:r>
        <w:rPr>
          <w:spacing w:val="7"/>
        </w:rPr>
        <w:t>:均衡性转移支</w:t>
      </w:r>
      <w:r>
        <w:rPr>
          <w:spacing w:val="5"/>
        </w:rPr>
        <w:t>付</w:t>
      </w:r>
      <w:r>
        <w:rPr>
          <w:rFonts w:hint="eastAsia"/>
          <w:spacing w:val="5"/>
          <w:lang w:val="en-US" w:eastAsia="zh-CN"/>
        </w:rPr>
        <w:t>13.1</w:t>
      </w:r>
      <w:r>
        <w:rPr>
          <w:spacing w:val="5"/>
        </w:rPr>
        <w:t>亿元，县级基本财力保障机制奖补资金</w:t>
      </w:r>
      <w:r>
        <w:rPr>
          <w:rFonts w:hint="eastAsia"/>
          <w:spacing w:val="5"/>
          <w:lang w:val="en-US" w:eastAsia="zh-CN"/>
        </w:rPr>
        <w:t>5.1</w:t>
      </w:r>
      <w:r>
        <w:rPr>
          <w:spacing w:val="5"/>
        </w:rPr>
        <w:t>亿元，结算补助收入</w:t>
      </w:r>
      <w:r>
        <w:rPr>
          <w:rFonts w:hint="eastAsia"/>
          <w:spacing w:val="5"/>
          <w:lang w:val="en-US" w:eastAsia="zh-CN"/>
        </w:rPr>
        <w:t>-0.3亿</w:t>
      </w:r>
      <w:r>
        <w:rPr>
          <w:spacing w:val="5"/>
        </w:rPr>
        <w:t>元，</w:t>
      </w:r>
      <w:r>
        <w:rPr>
          <w:spacing w:val="8"/>
        </w:rPr>
        <w:t>产粮(油)大县奖励资金</w:t>
      </w:r>
      <w:r>
        <w:rPr>
          <w:rFonts w:hint="eastAsia"/>
          <w:spacing w:val="8"/>
          <w:lang w:val="en-US" w:eastAsia="zh-CN"/>
        </w:rPr>
        <w:t>0.61亿</w:t>
      </w:r>
      <w:r>
        <w:rPr>
          <w:spacing w:val="8"/>
        </w:rPr>
        <w:t>元，</w:t>
      </w:r>
      <w:r>
        <w:rPr>
          <w:rFonts w:hint="eastAsia"/>
          <w:spacing w:val="8"/>
        </w:rPr>
        <w:t>资源枯竭型城市转移支付补助</w:t>
      </w:r>
      <w:r>
        <w:rPr>
          <w:rFonts w:hint="eastAsia"/>
          <w:spacing w:val="8"/>
          <w:lang w:val="en-US" w:eastAsia="zh-CN"/>
        </w:rPr>
        <w:t>0.13亿元，</w:t>
      </w:r>
      <w:r>
        <w:rPr>
          <w:spacing w:val="8"/>
        </w:rPr>
        <w:t>重点生态</w:t>
      </w:r>
      <w:r>
        <w:rPr>
          <w:spacing w:val="7"/>
        </w:rPr>
        <w:t>功能区转移支付</w:t>
      </w:r>
      <w:r>
        <w:rPr>
          <w:rFonts w:hint="eastAsia"/>
          <w:lang w:val="en-US" w:eastAsia="zh-CN"/>
        </w:rPr>
        <w:t>0.58亿</w:t>
      </w:r>
      <w:r>
        <w:rPr>
          <w:spacing w:val="7"/>
        </w:rPr>
        <w:t>元，固定数额补助</w:t>
      </w:r>
      <w:r>
        <w:rPr>
          <w:rFonts w:hint="eastAsia"/>
          <w:spacing w:val="7"/>
          <w:lang w:val="en-US" w:eastAsia="zh-CN"/>
        </w:rPr>
        <w:t>3.34</w:t>
      </w:r>
      <w:r>
        <w:rPr>
          <w:spacing w:val="7"/>
        </w:rPr>
        <w:t>亿元，巩固脱贫攻坚成果衔接</w:t>
      </w:r>
      <w:r>
        <w:rPr>
          <w:spacing w:val="8"/>
        </w:rPr>
        <w:t>乡村振兴转移支付</w:t>
      </w:r>
      <w:r>
        <w:rPr>
          <w:rFonts w:hint="eastAsia"/>
          <w:spacing w:val="8"/>
          <w:lang w:val="en-US" w:eastAsia="zh-CN"/>
        </w:rPr>
        <w:t>0.55亿</w:t>
      </w:r>
      <w:r>
        <w:rPr>
          <w:spacing w:val="8"/>
        </w:rPr>
        <w:t>元，</w:t>
      </w:r>
      <w:r>
        <w:rPr>
          <w:rFonts w:hint="eastAsia"/>
          <w:spacing w:val="8"/>
        </w:rPr>
        <w:t>教育共同财政事权转移支付</w:t>
      </w:r>
      <w:r>
        <w:rPr>
          <w:rFonts w:hint="eastAsia"/>
          <w:spacing w:val="8"/>
          <w:lang w:val="en-US" w:eastAsia="zh-CN"/>
        </w:rPr>
        <w:t>3.7亿元</w:t>
      </w:r>
      <w:r>
        <w:rPr>
          <w:spacing w:val="12"/>
        </w:rPr>
        <w:t>，农林水共同财政事权转移支付</w:t>
      </w:r>
      <w:r>
        <w:rPr>
          <w:rFonts w:hint="eastAsia"/>
          <w:spacing w:val="12"/>
          <w:lang w:val="en-US" w:eastAsia="zh-CN"/>
        </w:rPr>
        <w:t>2.7</w:t>
      </w:r>
      <w:r>
        <w:rPr>
          <w:spacing w:val="12"/>
        </w:rPr>
        <w:t>亿元，</w:t>
      </w:r>
      <w:r>
        <w:rPr>
          <w:rFonts w:hint="eastAsia"/>
          <w:spacing w:val="14"/>
        </w:rPr>
        <w:t>社会保障和就业共同财政事权转移支付</w:t>
      </w:r>
      <w:r>
        <w:rPr>
          <w:rFonts w:hint="eastAsia"/>
          <w:spacing w:val="14"/>
          <w:lang w:val="en-US" w:eastAsia="zh-CN"/>
        </w:rPr>
        <w:t>2.11亿元</w:t>
      </w:r>
      <w:r>
        <w:rPr>
          <w:spacing w:val="14"/>
        </w:rPr>
        <w:t>，交通运输共同财政事权转移支付收入</w:t>
      </w:r>
      <w:r>
        <w:rPr>
          <w:rFonts w:hint="eastAsia"/>
          <w:spacing w:val="14"/>
          <w:lang w:val="en-US" w:eastAsia="zh-CN"/>
        </w:rPr>
        <w:t>0.36亿</w:t>
      </w:r>
      <w:r>
        <w:rPr>
          <w:spacing w:val="14"/>
        </w:rPr>
        <w:t>元</w:t>
      </w:r>
      <w:r>
        <w:rPr>
          <w:rFonts w:hint="eastAsia"/>
          <w:spacing w:val="14"/>
          <w:lang w:val="en-US" w:eastAsia="zh-CN"/>
        </w:rPr>
        <w:t>等</w:t>
      </w:r>
      <w:r>
        <w:rPr>
          <w:spacing w:val="3"/>
        </w:rPr>
        <w:t>。</w:t>
      </w:r>
    </w:p>
    <w:p w14:paraId="032C68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600" w:lineRule="exact"/>
        <w:ind w:left="38" w:right="248" w:firstLine="633"/>
        <w:jc w:val="both"/>
        <w:textAlignment w:val="baseline"/>
      </w:pPr>
      <w:r>
        <w:rPr>
          <w:spacing w:val="7"/>
        </w:rPr>
        <w:t>3.专项转移支付补助市县支出</w:t>
      </w:r>
      <w:r>
        <w:rPr>
          <w:rFonts w:hint="eastAsia"/>
          <w:spacing w:val="7"/>
          <w:lang w:val="en-US" w:eastAsia="zh-CN"/>
        </w:rPr>
        <w:t>2068万</w:t>
      </w:r>
      <w:r>
        <w:rPr>
          <w:spacing w:val="7"/>
        </w:rPr>
        <w:t>元，其中</w:t>
      </w:r>
      <w:r>
        <w:rPr>
          <w:rFonts w:hint="eastAsia"/>
          <w:spacing w:val="7"/>
          <w:lang w:val="en-US" w:eastAsia="zh-CN"/>
        </w:rPr>
        <w:t>主要有</w:t>
      </w:r>
      <w:r>
        <w:rPr>
          <w:spacing w:val="7"/>
        </w:rPr>
        <w:t>：</w:t>
      </w:r>
      <w:r>
        <w:rPr>
          <w:rFonts w:hint="eastAsia"/>
          <w:spacing w:val="7"/>
        </w:rPr>
        <w:t>教育</w:t>
      </w:r>
      <w:r>
        <w:rPr>
          <w:rFonts w:hint="eastAsia"/>
          <w:spacing w:val="7"/>
          <w:lang w:val="en-US" w:eastAsia="zh-CN"/>
        </w:rPr>
        <w:t>专项219万元，</w:t>
      </w:r>
      <w:r>
        <w:rPr>
          <w:spacing w:val="7"/>
        </w:rPr>
        <w:t>农林水</w:t>
      </w:r>
      <w:r>
        <w:rPr>
          <w:spacing w:val="5"/>
        </w:rPr>
        <w:t>专项</w:t>
      </w:r>
      <w:r>
        <w:rPr>
          <w:rFonts w:hint="eastAsia"/>
          <w:spacing w:val="5"/>
          <w:lang w:val="en-US" w:eastAsia="zh-CN"/>
        </w:rPr>
        <w:t>1810万元等</w:t>
      </w:r>
      <w:r>
        <w:rPr>
          <w:spacing w:val="5"/>
        </w:rPr>
        <w:t>。</w:t>
      </w:r>
    </w:p>
    <w:sectPr>
      <w:pgSz w:w="11906" w:h="16839"/>
      <w:pgMar w:top="1431" w:right="155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17A01"/>
    <w:rsid w:val="0B676BC5"/>
    <w:rsid w:val="213F6AF3"/>
    <w:rsid w:val="21F63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628</Characters>
  <TotalTime>23</TotalTime>
  <ScaleCrop>false</ScaleCrop>
  <LinksUpToDate>false</LinksUpToDate>
  <CharactersWithSpaces>628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2024-10-10T12:06:00Z</dcterms:created>
  <dc:creator>CHANG</dc:creator>
  <cp:lastModifiedBy>Administrator</cp:lastModifiedBy>
  <dcterms:modified xsi:type="dcterms:W3CDTF">2025-11-19T02:06:07Z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2025-11-17T14:31:55Z</vt:filetime>
  </property>
  <property fmtid="{D5CDD505-2E9C-101B-9397-08002B2CF9AE}" pid="4" name="KSOTemplateDocerSaveRecord">
    <vt:lpwstr>eyJoZGlkIjoiYWEwOTBlOWNmZjk4M2MwODg4MDM4NDEzZmI1MWE5YjIiLCJ1c2VySWQiOiIzMTkyODk3NDcifQ==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F51A8CF42FFC4934B26BDA9BFF39B13A_13</vt:lpwstr>
  </property>
</Properties>
</file>