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4AA2BD">
      <w:pPr>
        <w:pStyle w:val="9"/>
        <w:spacing w:before="0" w:beforeAutospacing="0" w:after="0" w:afterAutospacing="0" w:line="520" w:lineRule="atLeast"/>
        <w:ind w:firstLine="640"/>
        <w:jc w:val="both"/>
        <w:rPr>
          <w:rFonts w:hint="eastAsia" w:ascii="等线" w:hAnsi="等线" w:eastAsia="等线"/>
          <w:sz w:val="21"/>
          <w:szCs w:val="21"/>
        </w:rPr>
      </w:pPr>
      <w:r>
        <w:rPr>
          <w:rStyle w:val="10"/>
          <w:rFonts w:hint="eastAsia" w:ascii="黑体" w:hAnsi="黑体" w:eastAsia="黑体"/>
          <w:sz w:val="32"/>
          <w:szCs w:val="32"/>
        </w:rPr>
        <w:t>预算绩效工作开展情况</w:t>
      </w:r>
    </w:p>
    <w:p w14:paraId="57521EA0">
      <w:pPr>
        <w:pStyle w:val="9"/>
        <w:spacing w:before="0" w:beforeAutospacing="0" w:after="0" w:afterAutospacing="0" w:line="520" w:lineRule="atLeast"/>
        <w:ind w:firstLine="640"/>
        <w:jc w:val="both"/>
        <w:rPr>
          <w:rFonts w:hint="eastAsia" w:ascii="等线" w:hAnsi="等线" w:eastAsia="等线"/>
          <w:sz w:val="21"/>
          <w:szCs w:val="21"/>
        </w:rPr>
      </w:pPr>
      <w:r>
        <w:rPr>
          <w:rStyle w:val="11"/>
          <w:rFonts w:hint="eastAsia" w:ascii="华文仿宋" w:hAnsi="华文仿宋" w:eastAsia="华文仿宋"/>
          <w:sz w:val="32"/>
          <w:szCs w:val="32"/>
        </w:rPr>
        <w:t>（一）工作及成效</w:t>
      </w:r>
    </w:p>
    <w:p w14:paraId="36D40020">
      <w:pPr>
        <w:pStyle w:val="9"/>
        <w:spacing w:line="520" w:lineRule="atLeast"/>
        <w:ind w:firstLine="640" w:firstLineChars="200"/>
        <w:jc w:val="both"/>
        <w:rPr>
          <w:rFonts w:hint="eastAsia" w:ascii="华文仿宋" w:hAnsi="华文仿宋" w:eastAsia="华文仿宋"/>
          <w:sz w:val="32"/>
          <w:szCs w:val="32"/>
        </w:rPr>
      </w:pPr>
      <w:r>
        <w:rPr>
          <w:rStyle w:val="11"/>
          <w:rFonts w:hint="eastAsia" w:ascii="华文仿宋" w:hAnsi="华文仿宋" w:eastAsia="华文仿宋"/>
          <w:sz w:val="32"/>
          <w:szCs w:val="32"/>
        </w:rPr>
        <w:t>一是</w:t>
      </w:r>
      <w:r>
        <w:rPr>
          <w:rFonts w:hint="eastAsia" w:ascii="华文仿宋" w:hAnsi="华文仿宋" w:eastAsia="华文仿宋"/>
          <w:sz w:val="32"/>
          <w:szCs w:val="32"/>
        </w:rPr>
        <w:t>强化绩效目标管理</w:t>
      </w:r>
      <w:r>
        <w:rPr>
          <w:rStyle w:val="11"/>
          <w:rFonts w:hint="eastAsia" w:ascii="华文仿宋" w:hAnsi="华文仿宋" w:eastAsia="华文仿宋"/>
          <w:sz w:val="32"/>
          <w:szCs w:val="32"/>
        </w:rPr>
        <w:t>，</w:t>
      </w:r>
      <w:r>
        <w:rPr>
          <w:rFonts w:hint="eastAsia" w:ascii="华文仿宋" w:hAnsi="华文仿宋" w:eastAsia="华文仿宋"/>
          <w:sz w:val="32"/>
          <w:szCs w:val="32"/>
        </w:rPr>
        <w:t>预算编制环节突出绩效导向。前移绩效关口，组织协调市本级预算部门（单位）完成了</w:t>
      </w:r>
      <w:r>
        <w:rPr>
          <w:rFonts w:ascii="华文仿宋" w:hAnsi="华文仿宋" w:eastAsia="华文仿宋"/>
          <w:sz w:val="32"/>
          <w:szCs w:val="32"/>
        </w:rPr>
        <w:t>2023年</w:t>
      </w:r>
      <w:r>
        <w:rPr>
          <w:rFonts w:hint="eastAsia" w:ascii="华文仿宋" w:hAnsi="华文仿宋" w:eastAsia="华文仿宋"/>
          <w:sz w:val="32"/>
          <w:szCs w:val="32"/>
        </w:rPr>
        <w:t>度</w:t>
      </w:r>
      <w:r>
        <w:rPr>
          <w:rFonts w:ascii="华文仿宋" w:hAnsi="华文仿宋" w:eastAsia="华文仿宋"/>
          <w:sz w:val="32"/>
          <w:szCs w:val="32"/>
        </w:rPr>
        <w:t>预算</w:t>
      </w:r>
      <w:r>
        <w:rPr>
          <w:rFonts w:hint="eastAsia" w:ascii="华文仿宋" w:hAnsi="华文仿宋" w:eastAsia="华文仿宋"/>
          <w:sz w:val="32"/>
          <w:szCs w:val="32"/>
        </w:rPr>
        <w:t>绩效目标</w:t>
      </w:r>
      <w:r>
        <w:rPr>
          <w:rFonts w:ascii="华文仿宋" w:hAnsi="华文仿宋" w:eastAsia="华文仿宋"/>
          <w:sz w:val="32"/>
          <w:szCs w:val="32"/>
        </w:rPr>
        <w:t>编制</w:t>
      </w:r>
      <w:r>
        <w:rPr>
          <w:rFonts w:hint="eastAsia" w:ascii="华文仿宋" w:hAnsi="华文仿宋" w:eastAsia="华文仿宋"/>
          <w:sz w:val="32"/>
          <w:szCs w:val="32"/>
        </w:rPr>
        <w:t>、审核及公开</w:t>
      </w:r>
      <w:r>
        <w:rPr>
          <w:rFonts w:ascii="华文仿宋" w:hAnsi="华文仿宋" w:eastAsia="华文仿宋"/>
          <w:sz w:val="32"/>
          <w:szCs w:val="32"/>
        </w:rPr>
        <w:t>工作，</w:t>
      </w:r>
      <w:r>
        <w:rPr>
          <w:rFonts w:hint="eastAsia" w:ascii="华文仿宋" w:hAnsi="华文仿宋" w:eastAsia="华文仿宋"/>
          <w:sz w:val="32"/>
          <w:szCs w:val="32"/>
        </w:rPr>
        <w:t>绩效目标管理实现了全覆盖，为全过程预算绩效管理提供了保障。工作中突出三个强化，一是</w:t>
      </w:r>
      <w:r>
        <w:rPr>
          <w:rFonts w:ascii="华文仿宋" w:hAnsi="华文仿宋" w:eastAsia="华文仿宋"/>
          <w:sz w:val="32"/>
          <w:szCs w:val="32"/>
        </w:rPr>
        <w:t>强化编制目标信息化管理。依托</w:t>
      </w:r>
      <w:r>
        <w:rPr>
          <w:rFonts w:hint="eastAsia" w:ascii="华文仿宋" w:hAnsi="华文仿宋" w:eastAsia="华文仿宋"/>
          <w:sz w:val="32"/>
          <w:szCs w:val="32"/>
        </w:rPr>
        <w:t>预算管理一体化系统编制2</w:t>
      </w:r>
      <w:r>
        <w:rPr>
          <w:rFonts w:ascii="华文仿宋" w:hAnsi="华文仿宋" w:eastAsia="华文仿宋"/>
          <w:sz w:val="32"/>
          <w:szCs w:val="32"/>
        </w:rPr>
        <w:t>023</w:t>
      </w:r>
      <w:r>
        <w:rPr>
          <w:rFonts w:hint="eastAsia" w:ascii="华文仿宋" w:hAnsi="华文仿宋" w:eastAsia="华文仿宋"/>
          <w:sz w:val="32"/>
          <w:szCs w:val="32"/>
        </w:rPr>
        <w:t>年项目绩效目标，用信息化手段为项目绩效目标提供基础支撑和技术保障；二是建立联合审核机制。要求各主管部门（单位）及财政部门相关预算资金管理科室分层严把质量审核关，从“完整</w:t>
      </w:r>
      <w:r>
        <w:rPr>
          <w:rFonts w:ascii="华文仿宋" w:hAnsi="华文仿宋" w:eastAsia="华文仿宋"/>
          <w:sz w:val="32"/>
          <w:szCs w:val="32"/>
        </w:rPr>
        <w:t>性、</w:t>
      </w:r>
      <w:r>
        <w:rPr>
          <w:rFonts w:hint="eastAsia" w:ascii="华文仿宋" w:hAnsi="华文仿宋" w:eastAsia="华文仿宋"/>
          <w:sz w:val="32"/>
          <w:szCs w:val="32"/>
        </w:rPr>
        <w:t>相关性、适当性、可行性”等方面认真复核，避免了项目名称和绩效目标内容不一致、不匹配、不合理、细化量化不够、指向不明确以及漏报等方面的问题；三是严格落实绩效目标与预算 “同步报送、同步批复、同步下达、同步公开”的要求，对未按要求编制绩效目标或未通过对，不得安排预算。初步实现了预算和绩效管理的源头融合。</w:t>
      </w:r>
    </w:p>
    <w:p w14:paraId="021C380B">
      <w:pPr>
        <w:pStyle w:val="9"/>
        <w:spacing w:line="520" w:lineRule="atLeast"/>
        <w:ind w:firstLine="640" w:firstLineChars="200"/>
        <w:jc w:val="both"/>
        <w:rPr>
          <w:rFonts w:hint="eastAsia" w:ascii="华文仿宋" w:hAnsi="华文仿宋" w:eastAsia="华文仿宋"/>
          <w:sz w:val="32"/>
          <w:szCs w:val="32"/>
        </w:rPr>
      </w:pPr>
      <w:r>
        <w:rPr>
          <w:rStyle w:val="11"/>
          <w:rFonts w:hint="eastAsia" w:ascii="华文仿宋" w:hAnsi="华文仿宋" w:eastAsia="华文仿宋"/>
          <w:sz w:val="32"/>
          <w:szCs w:val="32"/>
        </w:rPr>
        <w:t>二是精心组织开展部门绩效自评和绩效评价工作，预算项目资金绩效自评实现全覆盖。</w:t>
      </w:r>
      <w:r>
        <w:rPr>
          <w:rFonts w:ascii="仿宋" w:hAnsi="仿宋" w:eastAsia="仿宋"/>
          <w:bCs/>
          <w:sz w:val="32"/>
          <w:szCs w:val="32"/>
        </w:rPr>
        <w:t>组织市本级预算</w:t>
      </w:r>
      <w:r>
        <w:rPr>
          <w:rFonts w:hint="eastAsia" w:ascii="仿宋" w:hAnsi="仿宋" w:eastAsia="仿宋"/>
          <w:bCs/>
          <w:sz w:val="32"/>
          <w:szCs w:val="32"/>
        </w:rPr>
        <w:t>部门（</w:t>
      </w:r>
      <w:r>
        <w:rPr>
          <w:rFonts w:ascii="仿宋" w:hAnsi="仿宋" w:eastAsia="仿宋"/>
          <w:bCs/>
          <w:sz w:val="32"/>
          <w:szCs w:val="32"/>
        </w:rPr>
        <w:t>单位</w:t>
      </w:r>
      <w:r>
        <w:rPr>
          <w:rFonts w:hint="eastAsia" w:ascii="仿宋" w:hAnsi="仿宋" w:eastAsia="仿宋"/>
          <w:bCs/>
          <w:sz w:val="32"/>
          <w:szCs w:val="32"/>
        </w:rPr>
        <w:t>）对</w:t>
      </w:r>
      <w:r>
        <w:rPr>
          <w:rFonts w:ascii="仿宋" w:hAnsi="仿宋" w:eastAsia="仿宋"/>
          <w:bCs/>
          <w:sz w:val="32"/>
          <w:szCs w:val="32"/>
        </w:rPr>
        <w:t>2022年度</w:t>
      </w:r>
      <w:r>
        <w:rPr>
          <w:rFonts w:hint="eastAsia" w:ascii="仿宋" w:hAnsi="仿宋" w:eastAsia="仿宋"/>
          <w:bCs/>
          <w:sz w:val="32"/>
          <w:szCs w:val="32"/>
        </w:rPr>
        <w:t>市本级所有预算项目及部门整体支出资金进行</w:t>
      </w:r>
      <w:r>
        <w:rPr>
          <w:rFonts w:ascii="仿宋" w:hAnsi="仿宋" w:eastAsia="仿宋"/>
          <w:bCs/>
          <w:sz w:val="32"/>
          <w:szCs w:val="32"/>
        </w:rPr>
        <w:t>绩效自评</w:t>
      </w:r>
      <w:r>
        <w:rPr>
          <w:rFonts w:hint="eastAsia" w:ascii="仿宋" w:hAnsi="仿宋" w:eastAsia="仿宋"/>
          <w:bCs/>
          <w:sz w:val="32"/>
          <w:szCs w:val="32"/>
        </w:rPr>
        <w:t>。项目绩效自评涉及320个市直部门（单位）、3141个项目，自评金额共计84.40亿元，其中</w:t>
      </w:r>
      <w:bookmarkStart w:id="0" w:name="_Hlk86656550"/>
      <w:r>
        <w:rPr>
          <w:rFonts w:hint="eastAsia" w:ascii="仿宋" w:hAnsi="仿宋" w:eastAsia="仿宋"/>
          <w:bCs/>
          <w:sz w:val="32"/>
          <w:szCs w:val="32"/>
        </w:rPr>
        <w:t>：评价等级为“优”的项目2452个</w:t>
      </w:r>
      <w:bookmarkEnd w:id="0"/>
      <w:r>
        <w:rPr>
          <w:rFonts w:hint="eastAsia" w:ascii="仿宋" w:hAnsi="仿宋" w:eastAsia="仿宋"/>
          <w:bCs/>
          <w:sz w:val="32"/>
          <w:szCs w:val="32"/>
        </w:rPr>
        <w:t>；评价等级为“良”的项目414个；评价等级为“中”的项目56个；未实施的项目数量为219个（因疫情、政策调整等原因未执行），涉及资金总额为1.69亿元，项目资金绩效自评实现了全覆盖。部门整体支出绩效自评涉及71个市直部门，覆盖率100%，评价金额共计130.82亿元，其中：评价等级为“优”的部门67个</w:t>
      </w:r>
      <w:bookmarkStart w:id="1" w:name="_Hlk86657326"/>
      <w:r>
        <w:rPr>
          <w:rFonts w:hint="eastAsia" w:ascii="仿宋" w:hAnsi="仿宋" w:eastAsia="仿宋"/>
          <w:bCs/>
          <w:sz w:val="32"/>
          <w:szCs w:val="32"/>
        </w:rPr>
        <w:t>，评价等级为“良”的部门4个</w:t>
      </w:r>
      <w:bookmarkEnd w:id="1"/>
      <w:r>
        <w:rPr>
          <w:rFonts w:hint="eastAsia" w:ascii="仿宋" w:hAnsi="仿宋" w:eastAsia="仿宋"/>
          <w:bCs/>
          <w:sz w:val="32"/>
          <w:szCs w:val="32"/>
        </w:rPr>
        <w:t>。同时，71个市直预算部门分别组织对本部门筛选的71个部门重点项目支出资金进行了部门重点绩效评价，评价金额共计2.45亿元</w:t>
      </w:r>
      <w:r>
        <w:rPr>
          <w:rFonts w:ascii="仿宋" w:hAnsi="仿宋" w:eastAsia="仿宋"/>
          <w:bCs/>
          <w:sz w:val="32"/>
          <w:szCs w:val="32"/>
        </w:rPr>
        <w:t>。</w:t>
      </w:r>
      <w:r>
        <w:rPr>
          <w:rStyle w:val="12"/>
          <w:rFonts w:hint="eastAsia" w:ascii="仿宋" w:hAnsi="仿宋" w:eastAsia="仿宋"/>
          <w:sz w:val="32"/>
          <w:szCs w:val="32"/>
        </w:rPr>
        <w:t xml:space="preserve"> </w:t>
      </w:r>
    </w:p>
    <w:p w14:paraId="0F9EA749">
      <w:pPr>
        <w:pStyle w:val="9"/>
        <w:spacing w:line="520" w:lineRule="atLeast"/>
        <w:ind w:firstLine="640" w:firstLineChars="200"/>
        <w:rPr>
          <w:rFonts w:hint="eastAsia" w:ascii="华文仿宋" w:hAnsi="华文仿宋" w:eastAsia="华文仿宋"/>
          <w:sz w:val="32"/>
          <w:szCs w:val="32"/>
        </w:rPr>
      </w:pPr>
      <w:r>
        <w:rPr>
          <w:rStyle w:val="11"/>
          <w:rFonts w:hint="eastAsia" w:ascii="华文仿宋" w:hAnsi="华文仿宋" w:eastAsia="华文仿宋"/>
          <w:sz w:val="32"/>
          <w:szCs w:val="32"/>
        </w:rPr>
        <w:t>三是</w:t>
      </w:r>
      <w:r>
        <w:rPr>
          <w:rFonts w:hint="eastAsia" w:ascii="华文仿宋" w:hAnsi="华文仿宋" w:eastAsia="华文仿宋"/>
          <w:sz w:val="32"/>
          <w:szCs w:val="32"/>
        </w:rPr>
        <w:t>做实做细</w:t>
      </w:r>
      <w:r>
        <w:rPr>
          <w:rFonts w:hint="eastAsia" w:ascii="华文仿宋" w:hAnsi="华文仿宋" w:eastAsia="华文仿宋"/>
          <w:sz w:val="32"/>
          <w:szCs w:val="32"/>
          <w:lang w:val="en-US" w:eastAsia="zh-CN"/>
        </w:rPr>
        <w:t>重大政策</w:t>
      </w:r>
      <w:bookmarkStart w:id="4" w:name="_GoBack"/>
      <w:bookmarkEnd w:id="4"/>
      <w:r>
        <w:rPr>
          <w:rFonts w:hint="eastAsia" w:ascii="华文仿宋" w:hAnsi="华文仿宋" w:eastAsia="华文仿宋"/>
          <w:sz w:val="32"/>
          <w:szCs w:val="32"/>
        </w:rPr>
        <w:t>重点项目财政评价工作</w:t>
      </w:r>
    </w:p>
    <w:p w14:paraId="7754AF9C">
      <w:pPr>
        <w:pStyle w:val="9"/>
        <w:spacing w:line="520" w:lineRule="atLeast"/>
        <w:ind w:firstLine="640" w:firstLineChars="200"/>
        <w:jc w:val="both"/>
        <w:rPr>
          <w:rFonts w:hint="eastAsia"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为</w:t>
      </w:r>
      <w:bookmarkStart w:id="2" w:name="_Hlk174093136"/>
      <w:r>
        <w:rPr>
          <w:rFonts w:ascii="仿宋" w:hAnsi="仿宋" w:eastAsia="仿宋"/>
          <w:bCs/>
          <w:sz w:val="32"/>
          <w:szCs w:val="32"/>
        </w:rPr>
        <w:t>突出重点</w:t>
      </w:r>
      <w:r>
        <w:rPr>
          <w:rFonts w:hint="eastAsia" w:ascii="仿宋" w:hAnsi="仿宋" w:eastAsia="仿宋"/>
          <w:bCs/>
          <w:sz w:val="32"/>
          <w:szCs w:val="32"/>
        </w:rPr>
        <w:t>领域</w:t>
      </w:r>
      <w:r>
        <w:rPr>
          <w:rFonts w:ascii="仿宋" w:hAnsi="仿宋" w:eastAsia="仿宋"/>
          <w:bCs/>
          <w:sz w:val="32"/>
          <w:szCs w:val="32"/>
        </w:rPr>
        <w:t>，聚焦市委、市政府重大方针政策和决策部署落实情况</w:t>
      </w:r>
      <w:r>
        <w:rPr>
          <w:rFonts w:hint="eastAsia" w:ascii="仿宋" w:hAnsi="仿宋" w:eastAsia="仿宋"/>
          <w:bCs/>
          <w:sz w:val="32"/>
          <w:szCs w:val="32"/>
        </w:rPr>
        <w:t>，</w:t>
      </w:r>
      <w:bookmarkEnd w:id="2"/>
      <w:r>
        <w:rPr>
          <w:rFonts w:hint="eastAsia" w:ascii="仿宋" w:hAnsi="仿宋" w:eastAsia="仿宋"/>
          <w:bCs/>
          <w:sz w:val="32"/>
          <w:szCs w:val="32"/>
        </w:rPr>
        <w:t>2023年共确定财政</w:t>
      </w:r>
      <w:r>
        <w:rPr>
          <w:rFonts w:ascii="仿宋" w:hAnsi="仿宋" w:eastAsia="仿宋"/>
          <w:bCs/>
          <w:sz w:val="32"/>
          <w:szCs w:val="32"/>
        </w:rPr>
        <w:t>重点绩效评价</w:t>
      </w:r>
      <w:r>
        <w:rPr>
          <w:rFonts w:hint="eastAsia" w:ascii="仿宋" w:hAnsi="仿宋" w:eastAsia="仿宋"/>
          <w:bCs/>
          <w:sz w:val="32"/>
          <w:szCs w:val="32"/>
        </w:rPr>
        <w:t>项目</w:t>
      </w:r>
      <w:r>
        <w:rPr>
          <w:rFonts w:ascii="仿宋" w:hAnsi="仿宋" w:eastAsia="仿宋"/>
          <w:bCs/>
          <w:sz w:val="32"/>
          <w:szCs w:val="32"/>
        </w:rPr>
        <w:t>7</w:t>
      </w:r>
      <w:r>
        <w:rPr>
          <w:rFonts w:hint="eastAsia" w:ascii="仿宋" w:hAnsi="仿宋" w:eastAsia="仿宋"/>
          <w:bCs/>
          <w:sz w:val="32"/>
          <w:szCs w:val="32"/>
        </w:rPr>
        <w:t>个</w:t>
      </w:r>
      <w:r>
        <w:rPr>
          <w:rFonts w:ascii="仿宋" w:hAnsi="仿宋" w:eastAsia="仿宋"/>
          <w:bCs/>
          <w:sz w:val="32"/>
          <w:szCs w:val="32"/>
        </w:rPr>
        <w:t>，包括市本级项目、部门整体支出、政府投资基金、政府和社会资本合作（PPP）项目，</w:t>
      </w:r>
      <w:r>
        <w:rPr>
          <w:rFonts w:hint="eastAsia" w:ascii="仿宋" w:hAnsi="仿宋" w:eastAsia="仿宋"/>
          <w:bCs/>
          <w:sz w:val="32"/>
          <w:szCs w:val="32"/>
        </w:rPr>
        <w:t>涉及资金9</w:t>
      </w:r>
      <w:r>
        <w:rPr>
          <w:rFonts w:ascii="仿宋" w:hAnsi="仿宋" w:eastAsia="仿宋"/>
          <w:bCs/>
          <w:sz w:val="32"/>
          <w:szCs w:val="32"/>
        </w:rPr>
        <w:t>5723</w:t>
      </w:r>
      <w:r>
        <w:rPr>
          <w:rFonts w:hint="eastAsia" w:ascii="仿宋" w:hAnsi="仿宋" w:eastAsia="仿宋"/>
          <w:bCs/>
          <w:sz w:val="32"/>
          <w:szCs w:val="32"/>
        </w:rPr>
        <w:t>万元。通过</w:t>
      </w:r>
      <w:r>
        <w:rPr>
          <w:rFonts w:ascii="仿宋" w:hAnsi="仿宋" w:eastAsia="仿宋"/>
          <w:bCs/>
          <w:sz w:val="32"/>
          <w:szCs w:val="32"/>
        </w:rPr>
        <w:t>客观全面的评价，</w:t>
      </w:r>
      <w:r>
        <w:rPr>
          <w:rFonts w:hint="eastAsia" w:ascii="仿宋" w:hAnsi="仿宋" w:eastAsia="仿宋"/>
          <w:bCs/>
          <w:sz w:val="32"/>
          <w:szCs w:val="32"/>
        </w:rPr>
        <w:t>共发现问题</w:t>
      </w:r>
      <w:r>
        <w:rPr>
          <w:rFonts w:ascii="仿宋" w:hAnsi="仿宋" w:eastAsia="仿宋"/>
          <w:bCs/>
          <w:sz w:val="32"/>
          <w:szCs w:val="32"/>
        </w:rPr>
        <w:t>20</w:t>
      </w:r>
      <w:r>
        <w:rPr>
          <w:rFonts w:hint="eastAsia" w:ascii="仿宋" w:hAnsi="仿宋" w:eastAsia="仿宋"/>
          <w:bCs/>
          <w:sz w:val="32"/>
          <w:szCs w:val="32"/>
        </w:rPr>
        <w:t>条，针对性提出建议</w:t>
      </w:r>
      <w:r>
        <w:rPr>
          <w:rFonts w:ascii="仿宋" w:hAnsi="仿宋" w:eastAsia="仿宋"/>
          <w:bCs/>
          <w:sz w:val="32"/>
          <w:szCs w:val="32"/>
        </w:rPr>
        <w:t>22</w:t>
      </w:r>
      <w:r>
        <w:rPr>
          <w:rFonts w:hint="eastAsia" w:ascii="仿宋" w:hAnsi="仿宋" w:eastAsia="仿宋"/>
          <w:bCs/>
          <w:sz w:val="32"/>
          <w:szCs w:val="32"/>
        </w:rPr>
        <w:t>条</w:t>
      </w:r>
      <w:r>
        <w:rPr>
          <w:rFonts w:ascii="仿宋" w:hAnsi="仿宋" w:eastAsia="仿宋"/>
          <w:bCs/>
          <w:sz w:val="32"/>
          <w:szCs w:val="32"/>
        </w:rPr>
        <w:t>。</w:t>
      </w:r>
      <w:r>
        <w:rPr>
          <w:rStyle w:val="12"/>
          <w:rFonts w:hint="eastAsia" w:ascii="仿宋" w:hAnsi="仿宋" w:eastAsia="仿宋"/>
          <w:sz w:val="32"/>
          <w:szCs w:val="32"/>
        </w:rPr>
        <w:t>工作中，</w:t>
      </w:r>
      <w:r>
        <w:rPr>
          <w:rFonts w:hint="eastAsia" w:ascii="仿宋" w:hAnsi="仿宋" w:eastAsia="仿宋"/>
          <w:bCs/>
          <w:sz w:val="32"/>
          <w:szCs w:val="32"/>
        </w:rPr>
        <w:t>一是规范引入第三方机构参与重点项目绩效评价，严格落实主评人制度，对第三方机构绩效评价工作内容、时效、质量、纪律、保密等责任进行了明确要求；二是恪守绩效评价公正性，认真做好绩效评价实施方案的审核；三是完善绩效评价方式方法，开展现场“联评联审”，加强与有关部门和单位的沟通协商，扎实做好现场勘验、数据采集、走访座谈等基础性工作。</w:t>
      </w:r>
    </w:p>
    <w:p w14:paraId="350CA0DF">
      <w:pPr>
        <w:pStyle w:val="9"/>
        <w:spacing w:line="520" w:lineRule="atLeast"/>
        <w:ind w:firstLine="640" w:firstLineChars="200"/>
        <w:jc w:val="both"/>
        <w:rPr>
          <w:rFonts w:hint="eastAsia" w:ascii="仿宋" w:hAnsi="仿宋" w:eastAsia="仿宋"/>
          <w:bCs/>
          <w:sz w:val="32"/>
          <w:szCs w:val="32"/>
        </w:rPr>
      </w:pPr>
      <w:r>
        <w:rPr>
          <w:rStyle w:val="12"/>
          <w:rFonts w:hint="eastAsia" w:ascii="仿宋" w:hAnsi="仿宋" w:eastAsia="仿宋"/>
          <w:sz w:val="32"/>
          <w:szCs w:val="32"/>
        </w:rPr>
        <w:t>同时强化绩效评价结果运用，以“问题整改提醒函”的形式，将重点项目评价结果、问题和建议反馈给被评价部门和单位，督促其落实整改。并将评价结果报送局领导和相关业务科室，建议对专项资金使用规范、绩效显著的项目，在安排预算时优先考虑；对专项资金使用不规范、绩效差的项目，督促改进，在安排预算时从紧掌握。</w:t>
      </w:r>
      <w:r>
        <w:rPr>
          <w:rFonts w:hint="eastAsia" w:ascii="仿宋" w:hAnsi="仿宋" w:eastAsia="仿宋"/>
          <w:bCs/>
          <w:sz w:val="32"/>
          <w:szCs w:val="32"/>
        </w:rPr>
        <w:t>并按照预决算公开要求，将重点项目绩效评价报告在南阳市财政局网站及时向社会公开，接受人大及社会监督。</w:t>
      </w:r>
    </w:p>
    <w:p w14:paraId="4084483A">
      <w:pPr>
        <w:pStyle w:val="9"/>
        <w:spacing w:before="0" w:beforeAutospacing="0" w:after="0" w:afterAutospacing="0" w:line="520" w:lineRule="atLeast"/>
        <w:ind w:firstLine="640"/>
        <w:jc w:val="both"/>
        <w:rPr>
          <w:rFonts w:hint="eastAsia" w:ascii="等线" w:hAnsi="等线" w:eastAsia="等线"/>
          <w:sz w:val="21"/>
          <w:szCs w:val="21"/>
        </w:rPr>
      </w:pPr>
      <w:r>
        <w:rPr>
          <w:rStyle w:val="11"/>
          <w:rFonts w:hint="eastAsia" w:ascii="华文仿宋" w:hAnsi="华文仿宋" w:eastAsia="华文仿宋"/>
          <w:sz w:val="32"/>
          <w:szCs w:val="32"/>
        </w:rPr>
        <w:t>四是严过程，资金“双监控”实现全覆盖</w:t>
      </w:r>
    </w:p>
    <w:p w14:paraId="58BA5F34">
      <w:pPr>
        <w:ind w:firstLine="640" w:firstLineChars="200"/>
        <w:rPr>
          <w:rFonts w:hint="eastAsia" w:ascii="仿宋" w:hAnsi="仿宋" w:eastAsia="仿宋"/>
          <w:bCs/>
          <w:sz w:val="32"/>
          <w:szCs w:val="32"/>
          <w14:ligatures w14:val="none"/>
        </w:rPr>
      </w:pPr>
      <w:r>
        <w:rPr>
          <w:rFonts w:hint="eastAsia" w:ascii="仿宋" w:hAnsi="仿宋" w:eastAsia="仿宋"/>
          <w:bCs/>
          <w:sz w:val="32"/>
          <w:szCs w:val="32"/>
          <w14:ligatures w14:val="none"/>
        </w:rPr>
        <w:t>按时组织市本级预算部门（单位）对2023年1-7月份部门整体支出和项目支出资金进行了绩效监控。监控结果显示：市本级共有315个市直部门（单位）组织对其2290个项目1-7月份的绩效目标实现程度及预算资金执行进度进行了监控，涉及资金额共计240620.53万元。同时，70个市级预算部门（单位）组织对其2023年1-7月份部门整体支出资金进行了整体绩效监控，并提交了本部门（单位）整体绩效监控报告，监控覆盖率100%，监控金额共计1055013.2万元。</w:t>
      </w:r>
    </w:p>
    <w:p w14:paraId="2FD0ABCE">
      <w:pPr>
        <w:pStyle w:val="9"/>
        <w:spacing w:before="0" w:beforeAutospacing="0" w:after="0" w:afterAutospacing="0" w:line="520" w:lineRule="atLeast"/>
        <w:ind w:firstLine="640"/>
        <w:jc w:val="both"/>
        <w:rPr>
          <w:rFonts w:hint="eastAsia" w:ascii="等线" w:hAnsi="等线" w:eastAsia="等线"/>
          <w:sz w:val="21"/>
          <w:szCs w:val="21"/>
        </w:rPr>
      </w:pPr>
      <w:r>
        <w:rPr>
          <w:rStyle w:val="15"/>
          <w:rFonts w:hint="eastAsia" w:ascii="楷体" w:hAnsi="楷体" w:eastAsia="楷体"/>
          <w:sz w:val="32"/>
          <w:szCs w:val="32"/>
        </w:rPr>
        <w:t>（二）</w:t>
      </w:r>
      <w:r>
        <w:rPr>
          <w:rStyle w:val="15"/>
          <w:rFonts w:hint="eastAsia" w:ascii="楷体" w:hAnsi="楷体" w:eastAsia="楷体"/>
          <w:sz w:val="32"/>
          <w:szCs w:val="32"/>
          <w:lang w:val="en-US" w:eastAsia="zh-CN"/>
        </w:rPr>
        <w:t>重大政策和</w:t>
      </w:r>
      <w:r>
        <w:rPr>
          <w:rStyle w:val="15"/>
          <w:rFonts w:hint="eastAsia" w:ascii="楷体" w:hAnsi="楷体" w:eastAsia="楷体"/>
          <w:sz w:val="32"/>
          <w:szCs w:val="32"/>
        </w:rPr>
        <w:t>重点项目资金使用及绩效情况</w:t>
      </w:r>
    </w:p>
    <w:p w14:paraId="3A0CECDA">
      <w:pPr>
        <w:pStyle w:val="9"/>
        <w:spacing w:before="0" w:beforeAutospacing="0" w:after="0" w:afterAutospacing="0" w:line="520" w:lineRule="atLeast"/>
        <w:ind w:firstLine="640"/>
        <w:jc w:val="both"/>
        <w:rPr>
          <w:rStyle w:val="12"/>
          <w:rFonts w:hint="eastAsia" w:ascii="仿宋" w:hAnsi="仿宋" w:eastAsia="仿宋"/>
          <w:sz w:val="32"/>
          <w:szCs w:val="32"/>
          <w:lang w:eastAsia="zh-CN"/>
        </w:rPr>
      </w:pPr>
      <w:r>
        <w:rPr>
          <w:rStyle w:val="12"/>
          <w:rFonts w:hint="eastAsia" w:ascii="仿宋" w:hAnsi="仿宋" w:eastAsia="仿宋"/>
          <w:sz w:val="32"/>
          <w:szCs w:val="32"/>
          <w:lang w:val="en-US" w:eastAsia="zh-CN"/>
        </w:rPr>
        <w:t>1</w:t>
      </w:r>
      <w:r>
        <w:rPr>
          <w:rStyle w:val="12"/>
          <w:rFonts w:hint="eastAsia" w:ascii="仿宋" w:hAnsi="仿宋" w:eastAsia="仿宋"/>
          <w:sz w:val="32"/>
          <w:szCs w:val="32"/>
          <w:lang w:eastAsia="zh-CN"/>
        </w:rPr>
        <w:t>、南阳卧龙综保区一线进出口奖励资金项目（</w:t>
      </w:r>
      <w:r>
        <w:rPr>
          <w:rStyle w:val="12"/>
          <w:rFonts w:hint="eastAsia" w:ascii="仿宋" w:hAnsi="仿宋" w:eastAsia="仿宋"/>
          <w:sz w:val="32"/>
          <w:szCs w:val="32"/>
          <w:lang w:val="en-US" w:eastAsia="zh-CN"/>
        </w:rPr>
        <w:t>重大政策</w:t>
      </w:r>
      <w:r>
        <w:rPr>
          <w:rStyle w:val="12"/>
          <w:rFonts w:hint="eastAsia" w:ascii="仿宋" w:hAnsi="仿宋" w:eastAsia="仿宋"/>
          <w:sz w:val="32"/>
          <w:szCs w:val="32"/>
          <w:lang w:eastAsia="zh-CN"/>
        </w:rPr>
        <w:t>）</w:t>
      </w:r>
    </w:p>
    <w:p w14:paraId="44EAE7E9">
      <w:pPr>
        <w:pStyle w:val="9"/>
        <w:spacing w:before="0" w:beforeAutospacing="0" w:after="0" w:afterAutospacing="0" w:line="520" w:lineRule="atLeast"/>
        <w:ind w:firstLine="640"/>
        <w:jc w:val="both"/>
        <w:rPr>
          <w:rStyle w:val="12"/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bCs/>
          <w:color w:val="333333"/>
          <w:sz w:val="32"/>
          <w:szCs w:val="32"/>
          <w:shd w:val="clear" w:color="auto" w:fill="FFFFFF"/>
        </w:rPr>
        <w:t>南阳卧龙综合保税区</w:t>
      </w:r>
      <w:r>
        <w:rPr>
          <w:rFonts w:hint="eastAsia" w:ascii="仿宋_GB2312" w:hAnsi="仿宋" w:eastAsia="仿宋_GB2312" w:cs="仿宋"/>
          <w:bCs/>
          <w:color w:val="333333"/>
          <w:sz w:val="32"/>
          <w:szCs w:val="32"/>
          <w:shd w:val="clear" w:color="auto" w:fill="FFFFFF"/>
          <w:lang w:val="en-US" w:eastAsia="zh-CN"/>
        </w:rPr>
        <w:t>于</w:t>
      </w:r>
      <w:r>
        <w:rPr>
          <w:rFonts w:hint="eastAsia" w:ascii="仿宋_GB2312" w:hAnsi="仿宋" w:eastAsia="仿宋_GB2312" w:cs="仿宋"/>
          <w:bCs/>
          <w:color w:val="333333"/>
          <w:sz w:val="32"/>
          <w:szCs w:val="32"/>
          <w:shd w:val="clear" w:color="auto" w:fill="FFFFFF"/>
        </w:rPr>
        <w:t>2016年12月30日通过国家海关总署验收，正式封关运行，是继郑州新郑综合保税区后，河南省设立的第二个国家级综合保税区</w:t>
      </w:r>
      <w:r>
        <w:rPr>
          <w:rFonts w:hint="eastAsia" w:ascii="仿宋_GB2312" w:hAnsi="仿宋" w:eastAsia="仿宋_GB2312" w:cs="仿宋"/>
          <w:bCs/>
          <w:color w:val="333333"/>
          <w:sz w:val="32"/>
          <w:szCs w:val="32"/>
          <w:shd w:val="clear" w:color="auto" w:fill="FFFFFF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2019年-2022年南阳市财政局共下达进出口业绩奖励资金1800.00万元，截止2022年12月31日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已拨付进出口企业奖励资金2684.85万元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eastAsia="zh-CN"/>
        </w:rPr>
        <w:t>。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val="en-US" w:eastAsia="zh-CN"/>
        </w:rPr>
        <w:t>政策的支持</w:t>
      </w:r>
      <w:r>
        <w:rPr>
          <w:rFonts w:hint="eastAsia" w:ascii="仿宋" w:hAnsi="仿宋" w:eastAsia="仿宋" w:cs="仿宋"/>
          <w:bCs/>
          <w:sz w:val="32"/>
          <w:szCs w:val="32"/>
        </w:rPr>
        <w:t>一是进出口奖励政策覆盖面全，涉及加工类企业进口及出口、光电企业、物流业、实行进出口配额管理的产品、跨境电商业务及其他进出口业务，有效的推动了进出口业绩的提升。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 w:cs="仿宋"/>
          <w:bCs/>
          <w:sz w:val="32"/>
          <w:szCs w:val="32"/>
        </w:rPr>
        <w:t>是实行“区县联动”，加强与各县市区的合作，对重点外贸企业量身定制服务方案，鼓励各县市区依托综保区功能政策优势大力发展外向型产业，实现利益共享，进一步壮大综保区和全市进出口总量。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三是</w:t>
      </w:r>
      <w:r>
        <w:rPr>
          <w:rFonts w:hint="eastAsia" w:ascii="仿宋" w:hAnsi="仿宋" w:eastAsia="仿宋" w:cs="仿宋"/>
          <w:sz w:val="32"/>
          <w:szCs w:val="32"/>
        </w:rPr>
        <w:t>卧龙综保区开展进出口业务的外贸企业及进出口额，由2019年获奖励资金的企业4家到2022年获奖励资金的企业29家；2019年进出口额8.49亿元人民币到2022年进出口额54.61亿元人民币，外贸企业及进出口额的稳步增长，有效推动了市外贸行业的稳定发展，大幅提升了进出口贸易额，经济运行持续向好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四是</w:t>
      </w:r>
      <w:r>
        <w:rPr>
          <w:rFonts w:hint="eastAsia" w:ascii="仿宋" w:hAnsi="仿宋" w:eastAsia="仿宋" w:cs="仿宋"/>
          <w:sz w:val="32"/>
          <w:szCs w:val="32"/>
        </w:rPr>
        <w:t>在全国综保区排名大幅提升，卧龙综保区由2019年度的第124名（全国127家）提升到第108名（全国134家），由C类晋升到B类；2022年9月公布的2021年度综保区绩效评估结果中，卧龙综保区排名第95位（全国137家），评估结果保持在B类。</w:t>
      </w:r>
    </w:p>
    <w:p w14:paraId="0AC5AE0B">
      <w:pPr>
        <w:pStyle w:val="9"/>
        <w:spacing w:before="0" w:beforeAutospacing="0" w:after="0" w:afterAutospacing="0" w:line="520" w:lineRule="atLeast"/>
        <w:ind w:firstLine="640"/>
        <w:jc w:val="both"/>
        <w:rPr>
          <w:rStyle w:val="12"/>
          <w:rFonts w:hint="eastAsia" w:ascii="仿宋" w:hAnsi="仿宋" w:eastAsia="仿宋"/>
          <w:sz w:val="32"/>
          <w:szCs w:val="32"/>
          <w:lang w:eastAsia="zh-CN"/>
        </w:rPr>
      </w:pPr>
      <w:r>
        <w:rPr>
          <w:rStyle w:val="12"/>
          <w:rFonts w:hint="eastAsia" w:ascii="仿宋" w:hAnsi="仿宋" w:eastAsia="仿宋"/>
          <w:sz w:val="32"/>
          <w:szCs w:val="32"/>
          <w:lang w:val="en-US" w:eastAsia="zh-CN"/>
        </w:rPr>
        <w:t>2、南阳市科技成果转化专项资金</w:t>
      </w:r>
      <w:r>
        <w:rPr>
          <w:rStyle w:val="12"/>
          <w:rFonts w:hint="eastAsia" w:ascii="仿宋" w:hAnsi="仿宋" w:eastAsia="仿宋"/>
          <w:sz w:val="32"/>
          <w:szCs w:val="32"/>
          <w:lang w:eastAsia="zh-CN"/>
        </w:rPr>
        <w:t>（</w:t>
      </w:r>
      <w:r>
        <w:rPr>
          <w:rStyle w:val="12"/>
          <w:rFonts w:hint="eastAsia" w:ascii="仿宋" w:hAnsi="仿宋" w:eastAsia="仿宋"/>
          <w:sz w:val="32"/>
          <w:szCs w:val="32"/>
          <w:lang w:val="en-US" w:eastAsia="zh-CN"/>
        </w:rPr>
        <w:t>重大政策</w:t>
      </w:r>
      <w:r>
        <w:rPr>
          <w:rStyle w:val="12"/>
          <w:rFonts w:hint="eastAsia" w:ascii="仿宋" w:hAnsi="仿宋" w:eastAsia="仿宋"/>
          <w:sz w:val="32"/>
          <w:szCs w:val="32"/>
          <w:lang w:eastAsia="zh-CN"/>
        </w:rPr>
        <w:t>）</w:t>
      </w:r>
    </w:p>
    <w:p w14:paraId="5F6A3EC5">
      <w:pPr>
        <w:ind w:firstLine="640" w:firstLineChars="200"/>
        <w:rPr>
          <w:rStyle w:val="12"/>
          <w:rFonts w:hint="eastAsia" w:ascii="仿宋" w:hAnsi="仿宋" w:eastAsia="仿宋"/>
          <w:sz w:val="32"/>
          <w:szCs w:val="32"/>
        </w:rPr>
      </w:pPr>
      <w:r>
        <w:rPr>
          <w:rStyle w:val="12"/>
          <w:rFonts w:hint="eastAsia" w:ascii="仿宋" w:hAnsi="仿宋" w:eastAsia="仿宋"/>
          <w:sz w:val="32"/>
          <w:szCs w:val="32"/>
          <w:lang w:val="en-US" w:eastAsia="zh-CN"/>
        </w:rPr>
        <w:t>为认真贯彻落实市委、市政府“两轮两翼”战略,充分发挥财政资金支持和带动企业创新发展的作用,深化产学研协同创新，坚持“引进来”促进创新，积极推动南阳市企业技术升级、产业转型，促进科技成果资本化、产业化，全面提升区域创新体系，进一步加快全市科技创新体系建设和经济高质量发展,</w:t>
      </w:r>
      <w:r>
        <w:rPr>
          <w:rFonts w:hint="eastAsia" w:ascii="仿宋" w:hAnsi="仿宋" w:eastAsia="仿宋"/>
          <w:sz w:val="32"/>
          <w:szCs w:val="32"/>
        </w:rPr>
        <w:t>2022年市级财政预算安排科技成果转化专项资金626.17万元，</w:t>
      </w:r>
      <w:bookmarkStart w:id="3" w:name="_Hlk151025110"/>
      <w:r>
        <w:rPr>
          <w:rFonts w:hint="eastAsia" w:ascii="仿宋" w:hAnsi="仿宋" w:eastAsia="仿宋"/>
          <w:sz w:val="32"/>
          <w:szCs w:val="32"/>
        </w:rPr>
        <w:t>2022年8月23日市财政局直接将奖补资金下达给高校207.07万元，直接下达给企业60万元，下达给南阳市科学技术局50万元（2021年度武汉理工大学运行经费），下达至各区（县）财政部门309.1万元。科技成果转移转化专项资金的实施，一是有效激发了市场主体推动成果转化的积极性，减轻了市场主体进行科技创新的资金压力，同时强化了高校作为科技成果策源地在成果转化工作中的支撑作用，打通了科技成果转化通道，激发了其与企业合作开展应用技术研究的积极性，全面促进创新链、产业链、价值链深度融合，并加快推进了市场主体科技成果转移转化。二是通过获得科技成果转化补助项目的支持,企业可以获得更多的资金和资源,提高科技实力和转化能力,进一步促进科技成果的商业化运作，提高市场竞争力,扩大市场份额,提升企业经济效益,推动科技发展,为科技创新和产业升级提供资金支持。如乐凯华光印刷科技有限公司申报的“数字化胶印版材用新型功能性化合物研究与开发”项目，使企业掌握了主导产品所需关键原材料的自主合成技术，研发和试制能力持续提升，2021年以来累计为企业节约成本251万元；卧龙电气南阳防爆集团股份有限公司与ATB诺丁汉姆电机有限公司签订NDH高端低压电机研发合作协议，使企业掌握了国外电机制造的先进产品设计技术，提高关键工序的工艺制造能力。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三是强化了高校作为成果策源地的支撑作用，使创新成果与产业对接、创新项目与现实生产力对接。本地高校服务了大量的南阳本地企业，不仅提高了成果转化率，帮助企业解决关键技术难题，实现先进产品的更新换代，同时促使高校更注重同市场的衔接，产生的科技成果更具备实用性、新颖性、效益性，高校服务地方经济的社会功能得以充分发挥，推动了高校的自身的高质量发展，实现了高校和企业发展的双赢。比如南阳理工学院申报的“智能化全自动皂角刺脱刺机的设计与研发项目”，主要针对皂角刺脱刺机进行智能化升级改造，解决了企业皂角刺脱刺的核心问题，脱刺机效率提升了15％，效率提升后，为企业增加产值150万元。该企业目前已经种植1000多亩的皂角刺，加上周边农户种植，种植面积达1500亩，取得了良好的社会效益，该项目委托单位（新野县雷臻农业开发有限公司）对研究成果的满意度达100％。</w:t>
      </w:r>
      <w:bookmarkEnd w:id="3"/>
    </w:p>
    <w:p w14:paraId="2F9194A4">
      <w:pPr>
        <w:pStyle w:val="9"/>
        <w:spacing w:before="0" w:beforeAutospacing="0" w:after="0" w:afterAutospacing="0" w:line="520" w:lineRule="atLeast"/>
        <w:ind w:firstLine="640"/>
        <w:jc w:val="both"/>
        <w:rPr>
          <w:rFonts w:hint="eastAsia" w:ascii="等线" w:hAnsi="等线" w:eastAsia="仿宋"/>
          <w:sz w:val="21"/>
          <w:szCs w:val="21"/>
          <w:lang w:eastAsia="zh-CN"/>
        </w:rPr>
      </w:pPr>
      <w:r>
        <w:rPr>
          <w:rStyle w:val="12"/>
          <w:rFonts w:hint="eastAsia" w:ascii="仿宋" w:hAnsi="仿宋" w:eastAsia="仿宋"/>
          <w:sz w:val="32"/>
          <w:szCs w:val="32"/>
          <w:lang w:val="en-US" w:eastAsia="zh-CN"/>
        </w:rPr>
        <w:t>3</w:t>
      </w:r>
      <w:r>
        <w:rPr>
          <w:rStyle w:val="12"/>
          <w:rFonts w:hint="eastAsia" w:ascii="仿宋" w:hAnsi="仿宋" w:eastAsia="仿宋"/>
          <w:sz w:val="32"/>
          <w:szCs w:val="32"/>
        </w:rPr>
        <w:t>、</w:t>
      </w:r>
      <w:r>
        <w:rPr>
          <w:rFonts w:hint="eastAsia" w:ascii="仿宋" w:hAnsi="仿宋" w:eastAsia="仿宋"/>
          <w:bCs/>
          <w:sz w:val="32"/>
          <w:szCs w:val="32"/>
        </w:rPr>
        <w:t>南阳市企业金融服务平台建设及运营</w:t>
      </w:r>
      <w:r>
        <w:rPr>
          <w:rStyle w:val="12"/>
          <w:rFonts w:hint="eastAsia" w:ascii="仿宋" w:hAnsi="仿宋" w:eastAsia="仿宋"/>
          <w:sz w:val="32"/>
          <w:szCs w:val="32"/>
        </w:rPr>
        <w:t>项目</w:t>
      </w:r>
      <w:r>
        <w:rPr>
          <w:rStyle w:val="12"/>
          <w:rFonts w:hint="eastAsia" w:ascii="仿宋" w:hAnsi="仿宋" w:eastAsia="仿宋"/>
          <w:sz w:val="32"/>
          <w:szCs w:val="32"/>
          <w:lang w:eastAsia="zh-CN"/>
        </w:rPr>
        <w:t>（</w:t>
      </w:r>
      <w:r>
        <w:rPr>
          <w:rStyle w:val="12"/>
          <w:rFonts w:hint="eastAsia" w:ascii="仿宋" w:hAnsi="仿宋" w:eastAsia="仿宋"/>
          <w:sz w:val="32"/>
          <w:szCs w:val="32"/>
          <w:lang w:val="en-US" w:eastAsia="zh-CN"/>
        </w:rPr>
        <w:t>重点项目</w:t>
      </w:r>
      <w:r>
        <w:rPr>
          <w:rStyle w:val="12"/>
          <w:rFonts w:hint="eastAsia" w:ascii="仿宋" w:hAnsi="仿宋" w:eastAsia="仿宋"/>
          <w:sz w:val="32"/>
          <w:szCs w:val="32"/>
          <w:lang w:eastAsia="zh-CN"/>
        </w:rPr>
        <w:t>）</w:t>
      </w:r>
    </w:p>
    <w:p w14:paraId="1235064F">
      <w:pPr>
        <w:pStyle w:val="9"/>
        <w:shd w:val="clear" w:color="auto" w:fill="FFFFFF"/>
        <w:spacing w:line="520" w:lineRule="atLeast"/>
        <w:ind w:firstLine="640" w:firstLineChars="200"/>
        <w:jc w:val="both"/>
        <w:rPr>
          <w:rFonts w:hint="eastAsia" w:ascii="仿宋" w:hAnsi="仿宋" w:eastAsia="仿宋"/>
          <w:bCs/>
          <w:color w:val="000000"/>
          <w:sz w:val="32"/>
          <w:szCs w:val="32"/>
        </w:rPr>
      </w:pPr>
      <w:r>
        <w:rPr>
          <w:rFonts w:hint="eastAsia" w:ascii="仿宋" w:hAnsi="仿宋" w:eastAsia="仿宋"/>
          <w:bCs/>
          <w:color w:val="000000"/>
          <w:sz w:val="32"/>
          <w:szCs w:val="32"/>
        </w:rPr>
        <w:t>为进一步优化提升金融营商环境，充分发挥金融保障及金融助企舒困作用，解决企业融资难、融资贵问题，2022年市本级财政安排南阳市企业金融服务平台建设及运营项目350万元，截至2022年12月31日，该项目资金支出330.92万元，结余资金19.08万元，其中10.08万元系未支付的质量保证金。南阳市企业金融服务平台建设及运营项目是立足于政务大数据，利用互联网、大数据、人工智能等技术建立连接“政府、金融机构、企业”的信用金融服务生态。平台体系建设包括“一库两平台”及配套的运营服务，“一库”为企业信息数据库，“两平台”为大数据信用分析子平台、智能融资交易子平台。截至绩效评价基准日2023年7月31日，该平台已入驻18家银行机构、9家担保公司、8家小贷公司，已上架98个不同类型的个性化金融产品，注册企业总户数为178571家，企业累计上传融资需求73项，涉及资金总额29028万元，银行累计确认发放贷款15项，涉及资金总额4851.6万元。项目的实施，有效对接了全市银行、担保、小贷等金融机构，为企业提供了多层次的融资服务，实现了融资需求端和供给端随时随地快速精准对接，缓解了中小微企业融资难、融资贵问题。同时开辟了21条产业链和供应链金融服务专区，为金融机构积极开发供应链产品，打造供应链金融，创造了有利条件。</w:t>
      </w:r>
    </w:p>
    <w:p w14:paraId="23448D35">
      <w:pPr>
        <w:pStyle w:val="9"/>
        <w:spacing w:before="0" w:beforeAutospacing="0" w:after="0" w:afterAutospacing="0" w:line="520" w:lineRule="atLeast"/>
        <w:ind w:firstLine="640"/>
        <w:jc w:val="both"/>
        <w:rPr>
          <w:rFonts w:hint="eastAsia" w:ascii="仿宋" w:hAnsi="仿宋" w:eastAsia="仿宋"/>
          <w:b/>
          <w:bCs/>
          <w:color w:val="000000"/>
          <w:sz w:val="32"/>
          <w:szCs w:val="32"/>
        </w:rPr>
      </w:pPr>
      <w:r>
        <w:rPr>
          <w:rStyle w:val="12"/>
          <w:rFonts w:hint="eastAsia" w:ascii="仿宋" w:hAnsi="仿宋" w:eastAsia="仿宋"/>
          <w:color w:val="000000"/>
          <w:sz w:val="32"/>
          <w:szCs w:val="32"/>
          <w:lang w:val="en-US" w:eastAsia="zh-CN"/>
        </w:rPr>
        <w:t>4</w:t>
      </w:r>
      <w:r>
        <w:rPr>
          <w:rStyle w:val="12"/>
          <w:rFonts w:hint="eastAsia" w:ascii="仿宋" w:hAnsi="仿宋" w:eastAsia="仿宋"/>
          <w:color w:val="000000"/>
          <w:sz w:val="32"/>
          <w:szCs w:val="32"/>
        </w:rPr>
        <w:t>、</w:t>
      </w:r>
      <w:r>
        <w:rPr>
          <w:rFonts w:hint="eastAsia" w:ascii="仿宋" w:hAnsi="仿宋" w:eastAsia="仿宋"/>
          <w:color w:val="000000"/>
          <w:sz w:val="32"/>
          <w:szCs w:val="32"/>
        </w:rPr>
        <w:t>2</w:t>
      </w:r>
      <w:r>
        <w:rPr>
          <w:rFonts w:ascii="仿宋" w:hAnsi="仿宋" w:eastAsia="仿宋"/>
          <w:color w:val="000000"/>
          <w:sz w:val="32"/>
          <w:szCs w:val="32"/>
        </w:rPr>
        <w:t>022</w:t>
      </w:r>
      <w:r>
        <w:rPr>
          <w:rFonts w:hint="eastAsia" w:ascii="仿宋" w:hAnsi="仿宋" w:eastAsia="仿宋"/>
          <w:color w:val="000000"/>
          <w:sz w:val="32"/>
          <w:szCs w:val="32"/>
        </w:rPr>
        <w:t>年度南阳市社会福利院院民生活费项目</w:t>
      </w:r>
      <w:r>
        <w:rPr>
          <w:rStyle w:val="12"/>
          <w:rFonts w:hint="eastAsia" w:ascii="仿宋" w:hAnsi="仿宋" w:eastAsia="仿宋"/>
          <w:sz w:val="32"/>
          <w:szCs w:val="32"/>
          <w:lang w:eastAsia="zh-CN"/>
        </w:rPr>
        <w:t>（</w:t>
      </w:r>
      <w:r>
        <w:rPr>
          <w:rStyle w:val="12"/>
          <w:rFonts w:hint="eastAsia" w:ascii="仿宋" w:hAnsi="仿宋" w:eastAsia="仿宋"/>
          <w:sz w:val="32"/>
          <w:szCs w:val="32"/>
          <w:lang w:val="en-US" w:eastAsia="zh-CN"/>
        </w:rPr>
        <w:t>重点项目</w:t>
      </w:r>
      <w:r>
        <w:rPr>
          <w:rStyle w:val="12"/>
          <w:rFonts w:hint="eastAsia" w:ascii="仿宋" w:hAnsi="仿宋" w:eastAsia="仿宋"/>
          <w:sz w:val="32"/>
          <w:szCs w:val="32"/>
          <w:lang w:eastAsia="zh-CN"/>
        </w:rPr>
        <w:t>）</w:t>
      </w:r>
    </w:p>
    <w:p w14:paraId="4E1BA555">
      <w:pPr>
        <w:pStyle w:val="9"/>
        <w:shd w:val="clear" w:color="auto" w:fill="FFFFFF"/>
        <w:spacing w:line="520" w:lineRule="atLeast"/>
        <w:ind w:firstLine="640" w:firstLineChars="200"/>
        <w:jc w:val="both"/>
        <w:rPr>
          <w:rFonts w:hint="eastAsia" w:ascii="仿宋" w:hAnsi="仿宋" w:eastAsia="仿宋"/>
          <w:bCs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市委、市政府高度重视我市特困人员救助供养工作，多次提高最低生活保障标准、财政补助水平及特困人员救助供养标准。并明确南阳市社会福利院作为收养安置机构，</w:t>
      </w:r>
      <w:r>
        <w:rPr>
          <w:rFonts w:hint="eastAsia" w:ascii="仿宋" w:hAnsi="仿宋" w:eastAsia="仿宋"/>
          <w:bCs/>
          <w:color w:val="000000"/>
          <w:sz w:val="32"/>
          <w:szCs w:val="32"/>
        </w:rPr>
        <w:t>负责集中安置全市范围内的孤弃儿童和中心城区城镇“三无”人员（包括中心城区范围内长期滞留的流浪乞讨人员)。2022年度南阳市社会福利院院民生活费预算金额为1222.34万元。截至2022年12月31日，该项目预算资金实际到账金额为1222.34万元，其中：中央资金547.88 万元、省级资金135.04万元、市级资金539.42万元。截至2022年12月31日，院民生活费实际支出金额为11,084,950.94元，结余资金1,138,449.06元(主要是2022年度实际发生的费用在2022年12月31日前未结算报账，推迟至2023年度进行结算）。2022年度市福利院接收安置工作做到了应收尽收、应保尽保，截至2022年12月31日，共安置供养人员600人，其中孤儿379人、成年特困人员221人。其中生活不能自理、精神病人及残疾人比例高达92%，集中收养安置工作在一定程度上有效维护了社会面的稳定，体现了党和政府的温暖，产生了较好的社会效益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2"/>
  </w:compat>
  <w:rsids>
    <w:rsidRoot w:val="00A21AC9"/>
    <w:rsid w:val="00177C10"/>
    <w:rsid w:val="002915C9"/>
    <w:rsid w:val="002A2421"/>
    <w:rsid w:val="002B23FB"/>
    <w:rsid w:val="003B2CBC"/>
    <w:rsid w:val="004B056C"/>
    <w:rsid w:val="005619B2"/>
    <w:rsid w:val="005D225B"/>
    <w:rsid w:val="006770E7"/>
    <w:rsid w:val="007D7638"/>
    <w:rsid w:val="007E3FD1"/>
    <w:rsid w:val="00A21AC9"/>
    <w:rsid w:val="00AA2960"/>
    <w:rsid w:val="00C12731"/>
    <w:rsid w:val="00DB627C"/>
    <w:rsid w:val="00EA75A7"/>
    <w:rsid w:val="102216A5"/>
    <w:rsid w:val="5A964E23"/>
    <w:rsid w:val="7D0E3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6">
    <w:name w:val="Default Paragraph Font"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6"/>
    <w:semiHidden/>
    <w:unhideWhenUsed/>
    <w:uiPriority w:val="99"/>
    <w:pPr>
      <w:spacing w:after="120"/>
    </w:p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sz w:val="18"/>
      <w:szCs w:val="18"/>
    </w:rPr>
  </w:style>
  <w:style w:type="paragraph" w:customStyle="1" w:styleId="9">
    <w:name w:val="x-scope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0">
    <w:name w:val="qowt-font3"/>
    <w:basedOn w:val="6"/>
    <w:uiPriority w:val="0"/>
  </w:style>
  <w:style w:type="character" w:customStyle="1" w:styleId="11">
    <w:name w:val="qowt-font4"/>
    <w:basedOn w:val="6"/>
    <w:uiPriority w:val="0"/>
  </w:style>
  <w:style w:type="character" w:customStyle="1" w:styleId="12">
    <w:name w:val="qowt-font5"/>
    <w:basedOn w:val="6"/>
    <w:uiPriority w:val="0"/>
  </w:style>
  <w:style w:type="paragraph" w:customStyle="1" w:styleId="13">
    <w:name w:val="qowt-stl-a5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4">
    <w:name w:val="style-scope"/>
    <w:basedOn w:val="6"/>
    <w:uiPriority w:val="0"/>
  </w:style>
  <w:style w:type="character" w:customStyle="1" w:styleId="15">
    <w:name w:val="qowt-font6"/>
    <w:basedOn w:val="6"/>
    <w:uiPriority w:val="0"/>
  </w:style>
  <w:style w:type="character" w:customStyle="1" w:styleId="16">
    <w:name w:val="正文文本 字符"/>
    <w:basedOn w:val="6"/>
    <w:link w:val="2"/>
    <w:semiHidden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395</Words>
  <Characters>2256</Characters>
  <Lines>18</Lines>
  <Paragraphs>5</Paragraphs>
  <TotalTime>4</TotalTime>
  <ScaleCrop>false</ScaleCrop>
  <LinksUpToDate>false</LinksUpToDate>
  <CharactersWithSpaces>2646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2024-09-19T03:38:00Z</dcterms:created>
  <dc:creator>2 1</dc:creator>
  <cp:lastModifiedBy>Administrator</cp:lastModifiedBy>
  <dcterms:modified xsi:type="dcterms:W3CDTF">2025-11-17T08:53:22Z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B5B15257E7E34A4BBA1DFB57A63912C5_12</vt:lpwstr>
  </property>
</Properties>
</file>